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1C6419">
              <w:rPr>
                <w:rFonts w:ascii="Calibri" w:hAnsi="Calibri"/>
                <w:b/>
                <w:sz w:val="22"/>
                <w:szCs w:val="22"/>
              </w:rPr>
              <w:t>18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1C641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A67224">
              <w:rPr>
                <w:rFonts w:ascii="Calibri" w:hAnsi="Calibri"/>
                <w:b/>
                <w:sz w:val="22"/>
                <w:szCs w:val="22"/>
              </w:rPr>
              <w:t>4794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E1113E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E1113E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E1113E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1C6419">
        <w:rPr>
          <w:rFonts w:ascii="Calibri" w:hAnsi="Calibri" w:cs="Arial"/>
          <w:b/>
          <w:sz w:val="22"/>
          <w:szCs w:val="22"/>
        </w:rPr>
        <w:t xml:space="preserve">αποστολής </w:t>
      </w:r>
      <w:r w:rsidR="00F65C28">
        <w:rPr>
          <w:rFonts w:ascii="Calibri" w:hAnsi="Calibri" w:cs="Arial"/>
          <w:b/>
          <w:sz w:val="22"/>
          <w:szCs w:val="22"/>
        </w:rPr>
        <w:t>σχολικ</w:t>
      </w:r>
      <w:r w:rsidR="001C6419">
        <w:rPr>
          <w:rFonts w:ascii="Calibri" w:hAnsi="Calibri" w:cs="Arial"/>
          <w:b/>
          <w:sz w:val="22"/>
          <w:szCs w:val="22"/>
        </w:rPr>
        <w:t>ής</w:t>
      </w:r>
      <w:r w:rsidR="00F65C28">
        <w:rPr>
          <w:rFonts w:ascii="Calibri" w:hAnsi="Calibri" w:cs="Arial"/>
          <w:b/>
          <w:sz w:val="22"/>
          <w:szCs w:val="22"/>
        </w:rPr>
        <w:t xml:space="preserve"> ομάδ</w:t>
      </w:r>
      <w:r w:rsidR="001C6419">
        <w:rPr>
          <w:rFonts w:ascii="Calibri" w:hAnsi="Calibri" w:cs="Arial"/>
          <w:b/>
          <w:sz w:val="22"/>
          <w:szCs w:val="22"/>
        </w:rPr>
        <w:t>ας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</w:t>
      </w:r>
      <w:r w:rsidR="001C6419">
        <w:rPr>
          <w:rFonts w:ascii="Calibri" w:hAnsi="Calibri" w:cs="Arial"/>
          <w:sz w:val="22"/>
          <w:szCs w:val="22"/>
        </w:rPr>
        <w:t>ού</w:t>
      </w:r>
      <w:r w:rsidRPr="002D669A">
        <w:rPr>
          <w:rFonts w:ascii="Calibri" w:hAnsi="Calibri" w:cs="Arial"/>
          <w:sz w:val="22"/>
          <w:szCs w:val="22"/>
        </w:rPr>
        <w:t xml:space="preserve">, </w:t>
      </w:r>
      <w:r w:rsidR="00F703CE">
        <w:rPr>
          <w:rFonts w:ascii="Calibri" w:hAnsi="Calibri" w:cs="Arial"/>
          <w:sz w:val="22"/>
          <w:szCs w:val="22"/>
        </w:rPr>
        <w:t>διαιτητ</w:t>
      </w:r>
      <w:r w:rsidR="001C6419">
        <w:rPr>
          <w:rFonts w:ascii="Calibri" w:hAnsi="Calibri" w:cs="Arial"/>
          <w:sz w:val="22"/>
          <w:szCs w:val="22"/>
        </w:rPr>
        <w:t>ή</w:t>
      </w:r>
      <w:r w:rsidR="00F703CE">
        <w:rPr>
          <w:rFonts w:ascii="Calibri" w:hAnsi="Calibri" w:cs="Arial"/>
          <w:sz w:val="22"/>
          <w:szCs w:val="22"/>
        </w:rPr>
        <w:t xml:space="preserve"> και αρχηγ</w:t>
      </w:r>
      <w:r w:rsidR="001C6419">
        <w:rPr>
          <w:rFonts w:ascii="Calibri" w:hAnsi="Calibri" w:cs="Arial"/>
          <w:sz w:val="22"/>
          <w:szCs w:val="22"/>
        </w:rPr>
        <w:t>ού</w:t>
      </w:r>
      <w:r w:rsidR="00F703CE">
        <w:rPr>
          <w:rFonts w:ascii="Calibri" w:hAnsi="Calibri" w:cs="Arial"/>
          <w:sz w:val="22"/>
          <w:szCs w:val="22"/>
        </w:rPr>
        <w:t xml:space="preserve"> αποστολ</w:t>
      </w:r>
      <w:r w:rsidR="001C6419">
        <w:rPr>
          <w:rFonts w:ascii="Calibri" w:hAnsi="Calibri" w:cs="Arial"/>
          <w:sz w:val="22"/>
          <w:szCs w:val="22"/>
        </w:rPr>
        <w:t xml:space="preserve">ής της σχολικής ομάδας </w:t>
      </w:r>
      <w:proofErr w:type="spellStart"/>
      <w:r w:rsidR="001C6419">
        <w:rPr>
          <w:rFonts w:ascii="Calibri" w:hAnsi="Calibri" w:cs="Arial"/>
          <w:sz w:val="22"/>
          <w:szCs w:val="22"/>
        </w:rPr>
        <w:t>Πετοσφαίρισης</w:t>
      </w:r>
      <w:proofErr w:type="spellEnd"/>
      <w:r w:rsidR="001C6419">
        <w:rPr>
          <w:rFonts w:ascii="Calibri" w:hAnsi="Calibri" w:cs="Arial"/>
          <w:sz w:val="22"/>
          <w:szCs w:val="22"/>
        </w:rPr>
        <w:t xml:space="preserve"> κοριτσιών του 1</w:t>
      </w:r>
      <w:r w:rsidR="001C6419" w:rsidRPr="001C6419">
        <w:rPr>
          <w:rFonts w:ascii="Calibri" w:hAnsi="Calibri" w:cs="Arial"/>
          <w:sz w:val="22"/>
          <w:szCs w:val="22"/>
          <w:vertAlign w:val="superscript"/>
        </w:rPr>
        <w:t>ου</w:t>
      </w:r>
      <w:r w:rsidR="001C6419">
        <w:rPr>
          <w:rFonts w:ascii="Calibri" w:hAnsi="Calibri" w:cs="Arial"/>
          <w:sz w:val="22"/>
          <w:szCs w:val="22"/>
        </w:rPr>
        <w:t xml:space="preserve"> ΓΕΛ Ελασσόνας</w:t>
      </w:r>
      <w:r w:rsidR="00F703CE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1C6419">
        <w:rPr>
          <w:rFonts w:ascii="Calibri" w:hAnsi="Calibri" w:cs="Arial"/>
          <w:sz w:val="22"/>
          <w:szCs w:val="22"/>
        </w:rPr>
        <w:t>8645</w:t>
      </w:r>
      <w:r w:rsidR="00F64D2A">
        <w:rPr>
          <w:rFonts w:ascii="Calibri" w:hAnsi="Calibri" w:cs="Arial"/>
          <w:sz w:val="22"/>
          <w:szCs w:val="22"/>
        </w:rPr>
        <w:t>/</w:t>
      </w:r>
      <w:r w:rsidR="001C6419">
        <w:rPr>
          <w:rFonts w:ascii="Calibri" w:hAnsi="Calibri" w:cs="Arial"/>
          <w:sz w:val="22"/>
          <w:szCs w:val="22"/>
        </w:rPr>
        <w:t>18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210D95">
        <w:rPr>
          <w:rFonts w:ascii="Calibri" w:hAnsi="Calibri" w:cs="Arial"/>
          <w:sz w:val="22"/>
          <w:szCs w:val="22"/>
        </w:rPr>
        <w:t>Λάρισας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8E1D61" w:rsidRPr="00256B16" w:rsidRDefault="009400B3" w:rsidP="008E1D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1C6419">
        <w:rPr>
          <w:rFonts w:ascii="Calibri" w:hAnsi="Calibri" w:cs="Arial"/>
          <w:b/>
          <w:sz w:val="22"/>
          <w:szCs w:val="22"/>
          <w:u w:val="single"/>
        </w:rPr>
        <w:t>Πέμπτη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1C6419">
        <w:rPr>
          <w:rFonts w:ascii="Calibri" w:hAnsi="Calibri" w:cs="Arial"/>
          <w:b/>
          <w:sz w:val="22"/>
          <w:szCs w:val="22"/>
          <w:u w:val="single"/>
        </w:rPr>
        <w:t>18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1C6419">
        <w:rPr>
          <w:rFonts w:ascii="Calibri" w:hAnsi="Calibri" w:cs="Arial"/>
          <w:b/>
          <w:sz w:val="22"/>
          <w:szCs w:val="22"/>
          <w:u w:val="single"/>
        </w:rPr>
        <w:t>1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8E1D61" w:rsidRPr="00256B16">
        <w:rPr>
          <w:rFonts w:asciiTheme="minorHAnsi" w:hAnsiTheme="minorHAnsi" w:cstheme="minorHAnsi"/>
          <w:sz w:val="22"/>
          <w:szCs w:val="22"/>
        </w:rPr>
        <w:t>Λάρισας,</w:t>
      </w:r>
      <w:r w:rsidR="008E1D61">
        <w:rPr>
          <w:rFonts w:asciiTheme="minorHAnsi" w:hAnsiTheme="minorHAnsi" w:cstheme="minorHAnsi"/>
          <w:sz w:val="22"/>
          <w:szCs w:val="22"/>
        </w:rPr>
        <w:t xml:space="preserve"> υπόψη </w:t>
      </w:r>
      <w:proofErr w:type="spellStart"/>
      <w:r w:rsidR="008E1D61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="008E1D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1D61">
        <w:rPr>
          <w:rFonts w:asciiTheme="minorHAnsi" w:hAnsiTheme="minorHAnsi" w:cstheme="minorHAnsi"/>
          <w:sz w:val="22"/>
          <w:szCs w:val="22"/>
        </w:rPr>
        <w:t>Τσελεπίδου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 xml:space="preserve"> είτε με τηλεομοιότυπο 2414400092, είτε αυτοπροσώπως, είτε με ηλεκτρονικό ταχυδρομείο </w:t>
      </w:r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E1D61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8E1D61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8E1D61"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E1113E" w:rsidRDefault="00E1113E" w:rsidP="008367F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Το μεταφορικό μέσο τίθεται στη  διάθεση της αποστολής </w:t>
      </w:r>
      <w:r w:rsidR="00711286">
        <w:rPr>
          <w:rFonts w:ascii="Calibri" w:eastAsia="Calibri" w:hAnsi="Calibri" w:cs="Calibri"/>
          <w:color w:val="000000"/>
          <w:sz w:val="22"/>
          <w:szCs w:val="22"/>
        </w:rPr>
        <w:t xml:space="preserve">της σχολικής ομάδας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για  όποια  μετακίνηση προκύψει κατά τη διάρκεια της παραμονής της</w:t>
      </w:r>
      <w:r w:rsidR="000C140F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για τη διεξαγωγή των σχολικών αγώνων</w:t>
      </w:r>
      <w:r w:rsidR="000C140F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από την ημερομηνία αναχώρησης </w:t>
      </w:r>
      <w:r w:rsidR="00711286">
        <w:rPr>
          <w:rFonts w:ascii="Calibri" w:eastAsia="Calibri" w:hAnsi="Calibri" w:cs="Calibri"/>
          <w:color w:val="000000"/>
          <w:sz w:val="22"/>
          <w:szCs w:val="22"/>
        </w:rPr>
        <w:t xml:space="preserve">της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στις 18-04-2019 έως την ημερομηνία επιστροφής της στις 19-04-2019.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A6722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ΗΣ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ΣΧΟΛΙΚ</w:t>
      </w:r>
      <w:r w:rsidR="001C641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ΗΣ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</w:t>
      </w:r>
      <w:r w:rsidR="001C641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ΑΣ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8E1D6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ΛΑΡΙΣΑΣ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3"/>
        <w:tblW w:w="8522" w:type="dxa"/>
        <w:tblLook w:val="04A0"/>
      </w:tblPr>
      <w:tblGrid>
        <w:gridCol w:w="2660"/>
        <w:gridCol w:w="1954"/>
        <w:gridCol w:w="1954"/>
        <w:gridCol w:w="1954"/>
      </w:tblGrid>
      <w:tr w:rsidR="00210D95" w:rsidRPr="00875A96" w:rsidTr="00E1113E">
        <w:tc>
          <w:tcPr>
            <w:tcW w:w="2660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Ημερ</w:t>
            </w:r>
            <w:proofErr w:type="spellEnd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proofErr w:type="spellStart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νία</w:t>
            </w:r>
            <w:proofErr w:type="spellEnd"/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 xml:space="preserve"> Μετακίνησης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  <w:tc>
          <w:tcPr>
            <w:tcW w:w="5862" w:type="dxa"/>
            <w:gridSpan w:val="3"/>
            <w:vAlign w:val="center"/>
          </w:tcPr>
          <w:p w:rsidR="00210D95" w:rsidRPr="00875A96" w:rsidRDefault="001C6419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  <w:r w:rsidR="00210D95">
              <w:rPr>
                <w:rFonts w:asciiTheme="minorHAnsi" w:eastAsiaTheme="minorHAnsi" w:hAnsiTheme="minorHAnsi" w:cstheme="minorBidi"/>
                <w:lang w:eastAsia="en-US"/>
              </w:rPr>
              <w:t>-</w:t>
            </w:r>
            <w:r w:rsidR="00210D95">
              <w:rPr>
                <w:rFonts w:asciiTheme="minorHAnsi" w:eastAsiaTheme="minorHAnsi" w:hAnsiTheme="minorHAnsi" w:cstheme="minorBidi"/>
                <w:lang w:val="en-US" w:eastAsia="en-US"/>
              </w:rPr>
              <w:t>4</w:t>
            </w:r>
            <w:r w:rsidR="00210D95">
              <w:rPr>
                <w:rFonts w:asciiTheme="minorHAnsi" w:eastAsiaTheme="minorHAnsi" w:hAnsiTheme="minorHAnsi" w:cstheme="minorBidi"/>
                <w:lang w:eastAsia="en-US"/>
              </w:rPr>
              <w:t>-2019</w:t>
            </w:r>
          </w:p>
        </w:tc>
      </w:tr>
      <w:tr w:rsidR="00210D95" w:rsidRPr="00875A96" w:rsidTr="00E1113E">
        <w:trPr>
          <w:trHeight w:val="150"/>
        </w:trPr>
        <w:tc>
          <w:tcPr>
            <w:tcW w:w="2660" w:type="dxa"/>
            <w:vMerge w:val="restart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Μετακίνηση</w:t>
            </w:r>
            <w:r w:rsidR="001C6419">
              <w:rPr>
                <w:rFonts w:asciiTheme="minorHAnsi" w:eastAsiaTheme="minorHAnsi" w:hAnsiTheme="minorHAnsi" w:cstheme="minorBidi"/>
                <w:lang w:eastAsia="en-US"/>
              </w:rPr>
              <w:t xml:space="preserve">  από 18-04-2019 έως 19-04-2019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  <w:tc>
          <w:tcPr>
            <w:tcW w:w="1954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Από</w:t>
            </w:r>
          </w:p>
        </w:tc>
        <w:tc>
          <w:tcPr>
            <w:tcW w:w="1954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Προς</w:t>
            </w:r>
          </w:p>
        </w:tc>
        <w:tc>
          <w:tcPr>
            <w:tcW w:w="1954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Επιστροφή</w:t>
            </w:r>
          </w:p>
        </w:tc>
      </w:tr>
      <w:tr w:rsidR="00210D95" w:rsidRPr="00875A96" w:rsidTr="00E1113E">
        <w:trPr>
          <w:trHeight w:val="150"/>
        </w:trPr>
        <w:tc>
          <w:tcPr>
            <w:tcW w:w="2660" w:type="dxa"/>
            <w:vMerge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54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ΕΛΑΣΣΟΝΑ</w:t>
            </w:r>
          </w:p>
        </w:tc>
        <w:tc>
          <w:tcPr>
            <w:tcW w:w="1954" w:type="dxa"/>
            <w:vAlign w:val="center"/>
          </w:tcPr>
          <w:p w:rsidR="00210D95" w:rsidRPr="00875A96" w:rsidRDefault="001C6419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ΠΑΤΡΑ</w:t>
            </w:r>
          </w:p>
        </w:tc>
        <w:tc>
          <w:tcPr>
            <w:tcW w:w="1954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ΕΛΑΣΣΟΝΑ</w:t>
            </w:r>
          </w:p>
        </w:tc>
      </w:tr>
      <w:tr w:rsidR="001D1303" w:rsidRPr="00875A96" w:rsidTr="00E1113E">
        <w:trPr>
          <w:trHeight w:val="832"/>
        </w:trPr>
        <w:tc>
          <w:tcPr>
            <w:tcW w:w="2660" w:type="dxa"/>
            <w:vAlign w:val="center"/>
          </w:tcPr>
          <w:p w:rsidR="001D1303" w:rsidRDefault="001D1303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Σχολικ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ή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Μονάδ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α: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5862" w:type="dxa"/>
            <w:gridSpan w:val="3"/>
            <w:vAlign w:val="center"/>
          </w:tcPr>
          <w:p w:rsidR="001D1303" w:rsidRDefault="001C6419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1C6419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ο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D1303">
              <w:rPr>
                <w:rFonts w:asciiTheme="minorHAnsi" w:eastAsiaTheme="minorHAnsi" w:hAnsiTheme="minorHAnsi" w:cstheme="minorBidi"/>
                <w:lang w:eastAsia="en-US"/>
              </w:rPr>
              <w:t>ΓΕΛ ΕΛΑΣΣΟΝΑΣ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D1303">
              <w:rPr>
                <w:rFonts w:asciiTheme="minorHAnsi" w:eastAsiaTheme="minorHAnsi" w:hAnsiTheme="minorHAnsi" w:cstheme="minorBidi"/>
                <w:lang w:eastAsia="en-US"/>
              </w:rPr>
              <w:t xml:space="preserve">(ΚΟΡΙΤΣΙΑ) </w:t>
            </w:r>
          </w:p>
        </w:tc>
      </w:tr>
      <w:tr w:rsidR="00210D95" w:rsidRPr="00875A96" w:rsidTr="00E1113E">
        <w:tc>
          <w:tcPr>
            <w:tcW w:w="2660" w:type="dxa"/>
            <w:vAlign w:val="center"/>
          </w:tcPr>
          <w:p w:rsidR="00210D95" w:rsidRPr="00875A96" w:rsidRDefault="001C6419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Αριθμός μαθη</w:t>
            </w:r>
            <w:r w:rsidR="00210D95" w:rsidRPr="00875A96">
              <w:rPr>
                <w:rFonts w:asciiTheme="minorHAnsi" w:eastAsiaTheme="minorHAnsi" w:hAnsiTheme="minorHAnsi" w:cstheme="minorBidi"/>
                <w:lang w:eastAsia="en-US"/>
              </w:rPr>
              <w:t>τριών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  <w:tc>
          <w:tcPr>
            <w:tcW w:w="5862" w:type="dxa"/>
            <w:gridSpan w:val="3"/>
            <w:vAlign w:val="center"/>
          </w:tcPr>
          <w:p w:rsidR="00210D95" w:rsidRPr="00F21363" w:rsidRDefault="001C6419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</w:tr>
      <w:tr w:rsidR="00210D95" w:rsidRPr="00875A96" w:rsidTr="00E1113E">
        <w:tc>
          <w:tcPr>
            <w:tcW w:w="2660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Αριθμός Συνοδών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  <w:tc>
          <w:tcPr>
            <w:tcW w:w="5862" w:type="dxa"/>
            <w:gridSpan w:val="3"/>
            <w:vAlign w:val="center"/>
          </w:tcPr>
          <w:p w:rsidR="00210D95" w:rsidRPr="00875A96" w:rsidRDefault="001C6419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="00BE18DC">
              <w:rPr>
                <w:rFonts w:asciiTheme="minorHAnsi" w:eastAsiaTheme="minorHAnsi" w:hAnsiTheme="minorHAnsi" w:cstheme="minorBidi"/>
                <w:lang w:eastAsia="en-US"/>
              </w:rPr>
              <w:t xml:space="preserve"> (Συνοδός – Αρχηγός αποστολής-Διαιτητής)</w:t>
            </w:r>
          </w:p>
        </w:tc>
      </w:tr>
      <w:tr w:rsidR="00210D95" w:rsidRPr="00875A96" w:rsidTr="00E1113E">
        <w:tc>
          <w:tcPr>
            <w:tcW w:w="2660" w:type="dxa"/>
            <w:vAlign w:val="center"/>
          </w:tcPr>
          <w:p w:rsidR="00210D95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75A96">
              <w:rPr>
                <w:rFonts w:asciiTheme="minorHAnsi" w:eastAsiaTheme="minorHAnsi" w:hAnsiTheme="minorHAnsi" w:cstheme="minorBidi"/>
                <w:lang w:eastAsia="en-US"/>
              </w:rPr>
              <w:t>Αιτιολογία μετακίνησης</w:t>
            </w:r>
            <w:r w:rsidR="00A67224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  <w:tc>
          <w:tcPr>
            <w:tcW w:w="5862" w:type="dxa"/>
            <w:gridSpan w:val="3"/>
            <w:vAlign w:val="center"/>
          </w:tcPr>
          <w:p w:rsidR="00E1113E" w:rsidRPr="00875A96" w:rsidRDefault="00210D95" w:rsidP="00E1113E">
            <w:pPr>
              <w:spacing w:before="120" w:after="120"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ΣΧΟΛΙΚΟΙ ΑΓΩΝΕΣ ΠΕΤΟΣΦΑΙΡΙΣΗΣ </w:t>
            </w:r>
            <w:r w:rsidR="001C641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ΚΟΡΙΤΣΙΩΝ </w:t>
            </w:r>
            <w:r w:rsidR="001C6419">
              <w:rPr>
                <w:rFonts w:asciiTheme="minorHAnsi" w:eastAsiaTheme="minorHAnsi" w:hAnsiTheme="minorHAnsi" w:cstheme="minorBidi"/>
                <w:lang w:eastAsia="en-US"/>
              </w:rPr>
              <w:t>Γ</w:t>
            </w:r>
            <w:r w:rsidR="008E1D61">
              <w:rPr>
                <w:rFonts w:asciiTheme="minorHAnsi" w:eastAsiaTheme="minorHAnsi" w:hAnsiTheme="minorHAnsi" w:cstheme="minorBidi"/>
                <w:lang w:eastAsia="en-US"/>
              </w:rPr>
              <w:t>΄ ΦΑΣΗΣ</w:t>
            </w: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A41FA7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2.7pt;width:213.1pt;height:9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E1113E" w:rsidRPr="00C02373" w:rsidRDefault="00E1113E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E1113E" w:rsidRDefault="00E1113E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E1113E" w:rsidRDefault="00E1113E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E1113E" w:rsidRDefault="00E1113E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E1113E" w:rsidRPr="00C02373" w:rsidRDefault="00E1113E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Δρ Γεώργιος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8E1D61" w:rsidRDefault="008E1D61">
      <w:pPr>
        <w:rPr>
          <w:rFonts w:ascii="Calibri" w:hAnsi="Calibri"/>
          <w:sz w:val="22"/>
          <w:szCs w:val="22"/>
        </w:rPr>
      </w:pPr>
    </w:p>
    <w:p w:rsidR="008E1D61" w:rsidRDefault="008E1D61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8E1D61">
        <w:rPr>
          <w:rFonts w:ascii="Calibri" w:hAnsi="Calibri"/>
          <w:sz w:val="22"/>
          <w:szCs w:val="22"/>
        </w:rPr>
        <w:t>Λάρισας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3E" w:rsidRDefault="00E1113E" w:rsidP="00AF7D28">
      <w:r>
        <w:separator/>
      </w:r>
    </w:p>
  </w:endnote>
  <w:endnote w:type="continuationSeparator" w:id="0">
    <w:p w:rsidR="00E1113E" w:rsidRDefault="00E1113E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3E" w:rsidRDefault="00E1113E" w:rsidP="00AF7D28">
      <w:r>
        <w:separator/>
      </w:r>
    </w:p>
  </w:footnote>
  <w:footnote w:type="continuationSeparator" w:id="0">
    <w:p w:rsidR="00E1113E" w:rsidRDefault="00E1113E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C140F"/>
    <w:rsid w:val="00102E6A"/>
    <w:rsid w:val="001030DB"/>
    <w:rsid w:val="00131A7E"/>
    <w:rsid w:val="00174B47"/>
    <w:rsid w:val="0019089B"/>
    <w:rsid w:val="001C44D4"/>
    <w:rsid w:val="001C5897"/>
    <w:rsid w:val="001C6419"/>
    <w:rsid w:val="001D1303"/>
    <w:rsid w:val="00210D95"/>
    <w:rsid w:val="002178BB"/>
    <w:rsid w:val="00266529"/>
    <w:rsid w:val="00295CE1"/>
    <w:rsid w:val="002D04C2"/>
    <w:rsid w:val="002E0416"/>
    <w:rsid w:val="003234EE"/>
    <w:rsid w:val="00337805"/>
    <w:rsid w:val="0035610B"/>
    <w:rsid w:val="003703EA"/>
    <w:rsid w:val="003816F0"/>
    <w:rsid w:val="00464E35"/>
    <w:rsid w:val="00467EE8"/>
    <w:rsid w:val="00482BA3"/>
    <w:rsid w:val="00495568"/>
    <w:rsid w:val="004D07B5"/>
    <w:rsid w:val="004E22EA"/>
    <w:rsid w:val="00500CAE"/>
    <w:rsid w:val="00505FA3"/>
    <w:rsid w:val="00556DDE"/>
    <w:rsid w:val="00564F2E"/>
    <w:rsid w:val="00577FAC"/>
    <w:rsid w:val="00596265"/>
    <w:rsid w:val="00596F6E"/>
    <w:rsid w:val="006105A6"/>
    <w:rsid w:val="0069483A"/>
    <w:rsid w:val="006A259D"/>
    <w:rsid w:val="006B457D"/>
    <w:rsid w:val="006E1D13"/>
    <w:rsid w:val="006E5B3B"/>
    <w:rsid w:val="006F783A"/>
    <w:rsid w:val="00711286"/>
    <w:rsid w:val="00714B47"/>
    <w:rsid w:val="00716BBD"/>
    <w:rsid w:val="00724C5A"/>
    <w:rsid w:val="007251EA"/>
    <w:rsid w:val="00730ED1"/>
    <w:rsid w:val="007B254C"/>
    <w:rsid w:val="007D4595"/>
    <w:rsid w:val="007E186D"/>
    <w:rsid w:val="007E211A"/>
    <w:rsid w:val="007E2F16"/>
    <w:rsid w:val="00827153"/>
    <w:rsid w:val="008367F1"/>
    <w:rsid w:val="008865B0"/>
    <w:rsid w:val="00896320"/>
    <w:rsid w:val="008B1F60"/>
    <w:rsid w:val="008E1D61"/>
    <w:rsid w:val="00910F9F"/>
    <w:rsid w:val="00920526"/>
    <w:rsid w:val="009400B3"/>
    <w:rsid w:val="00943916"/>
    <w:rsid w:val="009458EA"/>
    <w:rsid w:val="00961601"/>
    <w:rsid w:val="009A4030"/>
    <w:rsid w:val="009A728E"/>
    <w:rsid w:val="009C47C1"/>
    <w:rsid w:val="009D423E"/>
    <w:rsid w:val="009E160F"/>
    <w:rsid w:val="00A0442D"/>
    <w:rsid w:val="00A32774"/>
    <w:rsid w:val="00A41FA7"/>
    <w:rsid w:val="00A67224"/>
    <w:rsid w:val="00AA2FAA"/>
    <w:rsid w:val="00AE6B22"/>
    <w:rsid w:val="00AF2239"/>
    <w:rsid w:val="00AF7D28"/>
    <w:rsid w:val="00B06299"/>
    <w:rsid w:val="00B0651F"/>
    <w:rsid w:val="00B15814"/>
    <w:rsid w:val="00BE18DC"/>
    <w:rsid w:val="00C17727"/>
    <w:rsid w:val="00C473DB"/>
    <w:rsid w:val="00C72695"/>
    <w:rsid w:val="00C74364"/>
    <w:rsid w:val="00C77E70"/>
    <w:rsid w:val="00C9147E"/>
    <w:rsid w:val="00CA4722"/>
    <w:rsid w:val="00CE7DBE"/>
    <w:rsid w:val="00CF1036"/>
    <w:rsid w:val="00D028C3"/>
    <w:rsid w:val="00D032F1"/>
    <w:rsid w:val="00D15ED1"/>
    <w:rsid w:val="00D320F7"/>
    <w:rsid w:val="00D772FA"/>
    <w:rsid w:val="00D90F3B"/>
    <w:rsid w:val="00DB2439"/>
    <w:rsid w:val="00DF3767"/>
    <w:rsid w:val="00E1113E"/>
    <w:rsid w:val="00E174D8"/>
    <w:rsid w:val="00E46EDB"/>
    <w:rsid w:val="00EC34EC"/>
    <w:rsid w:val="00F2257B"/>
    <w:rsid w:val="00F60E4C"/>
    <w:rsid w:val="00F64D2A"/>
    <w:rsid w:val="00F65C28"/>
    <w:rsid w:val="00F703CE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BE69-8B6D-4184-9A06-938A6D0A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2019-04-18T05:38:00Z</cp:lastPrinted>
  <dcterms:created xsi:type="dcterms:W3CDTF">2019-03-04T11:39:00Z</dcterms:created>
  <dcterms:modified xsi:type="dcterms:W3CDTF">2019-04-18T05:39:00Z</dcterms:modified>
</cp:coreProperties>
</file>