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CB59D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CB59D5">
              <w:rPr>
                <w:rFonts w:ascii="Verdana" w:hAnsi="Verdana"/>
                <w:sz w:val="18"/>
                <w:szCs w:val="18"/>
              </w:rPr>
              <w:t>02</w:t>
            </w:r>
            <w:r>
              <w:rPr>
                <w:rFonts w:ascii="Verdana" w:hAnsi="Verdana"/>
                <w:sz w:val="18"/>
                <w:szCs w:val="18"/>
              </w:rPr>
              <w:t>/0</w:t>
            </w:r>
            <w:r w:rsidR="00CB59D5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FC1F4C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 w:rsidRPr="00FC1F4C"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FC1F4C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ΠΙΝΑΚΕΣ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ΩΡΟΜΙΣΘΙΩΝ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ΕΚΠΑΙΔΕΥΤΙΚΟΥ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ΕΕΠ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ΚΛΑΔΩΝ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21-26,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22,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23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ΚΥΡΙΟΣ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Α΄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23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ΕΠΙΚΟΥΡΙΚΟΣ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Β΄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25,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28,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29,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30,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ΔΕ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1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ΒΟΗΘΗΤΙΚΟΥ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ΠΙΝΑΚΑΣ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ΑΠΟΡΡΙΠΤΕΩΝ</w:t>
      </w:r>
      <w:r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0145EA" w:rsidRDefault="00FC1F4C" w:rsidP="00BC5858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Η Περιφερειακή Διεύθυνση Εκπαίδευσης Θεσσαλίας γνωστοποιεί ότι, στο πλαίσιο της διαδικασίας ένταξης των υποψηφίων Ειδικού Εκπαιδευτικού Προσωπικού (ΕΕΠ) και Ειδικού Βοηθητικού Προσωπικού στους Πίνακες Αναπληρωτών των κλάδων / ειδικοτήτων ΠΕ21-26, ΠΕ22, ΠΕ23 ΚΥΡΙΟΣ Α΄, ΠΕ23 ΕΠΙΚΟΥΡΙΚΟΣ Β΄, ΠΕ25, ΠΕ28, ΠΕ29, ΠΕ30 ΔΕ1, ΚΑΙ «ΑΠΟΡΡΙΠΤΕΩΝ» για πρόσληψη κατά το σχολικό έτος 2016-2017, καταρτίστηκαν</w:t>
      </w:r>
      <w:r w:rsidR="00C95F75">
        <w:rPr>
          <w:rFonts w:ascii="Tahoma" w:hAnsi="Tahoma" w:cs="Tahoma"/>
          <w:color w:val="333333"/>
          <w:sz w:val="19"/>
          <w:szCs w:val="19"/>
        </w:rPr>
        <w:t xml:space="preserve"> και </w:t>
      </w:r>
      <w:proofErr w:type="spellStart"/>
      <w:r w:rsidR="00C95F75">
        <w:rPr>
          <w:rFonts w:ascii="Tahoma" w:hAnsi="Tahoma" w:cs="Tahoma"/>
          <w:color w:val="333333"/>
          <w:sz w:val="19"/>
          <w:szCs w:val="19"/>
        </w:rPr>
        <w:t>ανακοινοποιήθηκαν</w:t>
      </w:r>
      <w:proofErr w:type="spellEnd"/>
      <w:r w:rsidR="00C95F75">
        <w:rPr>
          <w:rFonts w:ascii="Tahoma" w:hAnsi="Tahoma" w:cs="Tahoma"/>
          <w:color w:val="333333"/>
          <w:sz w:val="19"/>
          <w:szCs w:val="19"/>
        </w:rPr>
        <w:t xml:space="preserve"> </w:t>
      </w:r>
      <w:r w:rsidR="00F13F82">
        <w:rPr>
          <w:rFonts w:ascii="Tahoma" w:hAnsi="Tahoma" w:cs="Tahoma"/>
          <w:color w:val="333333"/>
          <w:sz w:val="19"/>
          <w:szCs w:val="19"/>
        </w:rPr>
        <w:t xml:space="preserve">μετά από την </w:t>
      </w:r>
      <w:proofErr w:type="spellStart"/>
      <w:r w:rsidR="00F13F82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F13F82">
        <w:rPr>
          <w:rFonts w:ascii="Tahoma" w:hAnsi="Tahoma" w:cs="Tahoma"/>
          <w:color w:val="333333"/>
          <w:sz w:val="19"/>
          <w:szCs w:val="19"/>
        </w:rPr>
        <w:t xml:space="preserve">. 6782/01-09-2016 </w:t>
      </w:r>
      <w:proofErr w:type="spellStart"/>
      <w:r w:rsidR="00F13F82">
        <w:rPr>
          <w:rFonts w:ascii="Tahoma" w:hAnsi="Tahoma" w:cs="Tahoma"/>
          <w:color w:val="333333"/>
          <w:sz w:val="19"/>
          <w:szCs w:val="19"/>
        </w:rPr>
        <w:t>ανακοινοποίηση</w:t>
      </w:r>
      <w:proofErr w:type="spellEnd"/>
      <w:r w:rsidR="00F13F82">
        <w:rPr>
          <w:rFonts w:ascii="Tahoma" w:hAnsi="Tahoma" w:cs="Tahoma"/>
          <w:color w:val="333333"/>
          <w:sz w:val="19"/>
          <w:szCs w:val="19"/>
        </w:rPr>
        <w:t xml:space="preserve"> του Ι.Ε.Π. και κατόπιν επανελέγχου των αιτήσεων,  </w:t>
      </w:r>
      <w:r>
        <w:rPr>
          <w:rFonts w:ascii="Tahoma" w:hAnsi="Tahoma" w:cs="Tahoma"/>
          <w:color w:val="333333"/>
          <w:sz w:val="19"/>
          <w:szCs w:val="19"/>
        </w:rPr>
        <w:t xml:space="preserve">από την Περιφερειακή Διεύθυνση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Εκπ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/σης Θεσσαλίας,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hyperlink r:id="rId6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Φ.Ε.Κ. 227</w:t>
        </w:r>
        <w:r w:rsidR="008E0563">
          <w:rPr>
            <w:rStyle w:val="-"/>
            <w:rFonts w:ascii="Arial" w:hAnsi="Arial" w:cs="Arial"/>
            <w:color w:val="008080"/>
            <w:sz w:val="19"/>
            <w:szCs w:val="19"/>
          </w:rPr>
          <w:t>2</w:t>
        </w:r>
        <w:r>
          <w:rPr>
            <w:rStyle w:val="-"/>
            <w:rFonts w:ascii="Arial" w:hAnsi="Arial" w:cs="Arial"/>
            <w:color w:val="008080"/>
            <w:sz w:val="19"/>
            <w:szCs w:val="19"/>
          </w:rPr>
          <w:t>/ τ.Β΄ /2016</w:t>
        </w:r>
      </w:hyperlink>
      <w:r>
        <w:rPr>
          <w:rFonts w:ascii="Tahoma" w:hAnsi="Tahoma" w:cs="Tahoma"/>
          <w:color w:val="333333"/>
          <w:sz w:val="19"/>
          <w:szCs w:val="19"/>
        </w:rPr>
        <w:t>), οι προσωρινοί πίνακες κατάταξης αναπληρωτών Ειδικού Εκπαιδευτικού Προσωπικού (ΕΕΠ) και Ειδικού Βοηθητικού Προσωπικού των κλάδων/ ειδικοτήτων ΠΕ21-26, ΠΕ22, ΠΕ23 ΚΥΡΙΟΣ Α΄, ΠΕ23 ΕΠΙΚΟΥΡΙΚΟΣ Β΄ , ΠΕ25, ΠΕ28, ΠΕ29, ΠΕ30 και ΔΕ1 καθώς και ο</w:t>
      </w:r>
      <w:r w:rsidR="008E0563">
        <w:rPr>
          <w:rFonts w:ascii="Tahoma" w:hAnsi="Tahoma" w:cs="Tahoma"/>
          <w:color w:val="333333"/>
          <w:sz w:val="19"/>
          <w:szCs w:val="19"/>
        </w:rPr>
        <w:t>ι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8E0563">
        <w:rPr>
          <w:rFonts w:ascii="Tahoma" w:hAnsi="Tahoma" w:cs="Tahoma"/>
          <w:color w:val="333333"/>
          <w:sz w:val="19"/>
          <w:szCs w:val="19"/>
        </w:rPr>
        <w:t>ες</w:t>
      </w:r>
      <w:r>
        <w:rPr>
          <w:rFonts w:ascii="Tahoma" w:hAnsi="Tahoma" w:cs="Tahoma"/>
          <w:color w:val="333333"/>
          <w:sz w:val="19"/>
          <w:szCs w:val="19"/>
        </w:rPr>
        <w:t xml:space="preserve"> «Απορριπτέων</w:t>
      </w:r>
      <w:r w:rsidR="008E0563">
        <w:rPr>
          <w:rFonts w:ascii="Tahoma" w:hAnsi="Tahoma" w:cs="Tahoma"/>
          <w:color w:val="333333"/>
          <w:sz w:val="19"/>
          <w:szCs w:val="19"/>
        </w:rPr>
        <w:t xml:space="preserve"> ΕΕΠ</w:t>
      </w:r>
      <w:r>
        <w:rPr>
          <w:rFonts w:ascii="Tahoma" w:hAnsi="Tahoma" w:cs="Tahoma"/>
          <w:color w:val="333333"/>
          <w:sz w:val="19"/>
          <w:szCs w:val="19"/>
        </w:rPr>
        <w:t>»</w:t>
      </w:r>
      <w:r w:rsidR="008E0563">
        <w:rPr>
          <w:rFonts w:ascii="Tahoma" w:hAnsi="Tahoma" w:cs="Tahoma"/>
          <w:color w:val="333333"/>
          <w:sz w:val="19"/>
          <w:szCs w:val="19"/>
        </w:rPr>
        <w:t xml:space="preserve"> και «Απορριπτέων ΕΒΠ» </w:t>
      </w:r>
      <w:r>
        <w:rPr>
          <w:rFonts w:ascii="Tahoma" w:hAnsi="Tahoma" w:cs="Tahoma"/>
          <w:color w:val="333333"/>
          <w:sz w:val="19"/>
          <w:szCs w:val="19"/>
        </w:rPr>
        <w:t xml:space="preserve"> με τους υποψηφίους που δεν πληρούν τις προϋποθέσεις της Πρόσκλησης και τη σχετική αιτιολόγηση και έχουν αναρτηθεί στις ηλεκτρονικές διευθύνσεις του Υπουργείου Παιδείας, Έρευνας και Θρησκευμάτων </w:t>
      </w:r>
      <w:hyperlink r:id="rId7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https://www.minedu.gov.gr/eidiki-agwgi-2/eidiki-agwgi-ekpaideutikoi/eidiki-agwgi-eep</w:t>
        </w:r>
      </w:hyperlink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t xml:space="preserve">και της Περιφερειακής Διεύθυνσης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Εκπ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/σης Θεσσαλίας 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http://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thess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pde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sch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gr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jn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r w:rsidR="000145EA">
        <w:rPr>
          <w:rFonts w:ascii="Tahoma" w:hAnsi="Tahoma" w:cs="Tahoma"/>
          <w:color w:val="008080"/>
          <w:sz w:val="19"/>
          <w:szCs w:val="19"/>
          <w:lang w:val="en-US"/>
        </w:rPr>
        <w:t>index</w:t>
      </w:r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php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r w:rsidR="000145EA">
        <w:rPr>
          <w:rFonts w:ascii="Tahoma" w:hAnsi="Tahoma" w:cs="Tahoma"/>
          <w:color w:val="008080"/>
          <w:sz w:val="19"/>
          <w:szCs w:val="19"/>
          <w:lang w:val="en-US"/>
        </w:rPr>
        <w:t>news</w:t>
      </w:r>
      <w:r w:rsidR="000145EA" w:rsidRPr="000145EA">
        <w:rPr>
          <w:rFonts w:ascii="Tahoma" w:hAnsi="Tahoma" w:cs="Tahoma"/>
          <w:color w:val="008080"/>
          <w:sz w:val="19"/>
          <w:szCs w:val="19"/>
        </w:rPr>
        <w:t>/118-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eidiki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-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agogi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</w:p>
    <w:p w:rsidR="00FC1F4C" w:rsidRDefault="00FC1F4C" w:rsidP="00BC5858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Οι υποψήφιοι, σύμφωνα με τ</w:t>
      </w:r>
      <w:r w:rsidR="00CC2EF0">
        <w:rPr>
          <w:rFonts w:ascii="Tahoma" w:hAnsi="Tahoma" w:cs="Tahoma"/>
          <w:color w:val="333333"/>
          <w:sz w:val="19"/>
          <w:szCs w:val="19"/>
        </w:rPr>
        <w:t xml:space="preserve">ην ανωτέρω </w:t>
      </w:r>
      <w:r w:rsidR="00CB59D5">
        <w:rPr>
          <w:rFonts w:ascii="Tahoma" w:hAnsi="Tahoma" w:cs="Tahoma"/>
          <w:color w:val="333333"/>
          <w:sz w:val="19"/>
          <w:szCs w:val="19"/>
        </w:rPr>
        <w:t>οικεία</w:t>
      </w:r>
      <w:r>
        <w:rPr>
          <w:rFonts w:ascii="Tahoma" w:hAnsi="Tahoma" w:cs="Tahoma"/>
          <w:color w:val="333333"/>
          <w:sz w:val="19"/>
          <w:szCs w:val="19"/>
        </w:rPr>
        <w:t xml:space="preserve"> πρόσκληση, μπορούν να υποβάλουν ένσταση στο Α.Σ.Ε.Π. (Ειδικό έντυπο ΑΣΕΠ ) από 3</w:t>
      </w:r>
      <w:r w:rsidR="00BC5858">
        <w:rPr>
          <w:rFonts w:ascii="Tahoma" w:hAnsi="Tahoma" w:cs="Tahoma"/>
          <w:color w:val="333333"/>
          <w:sz w:val="19"/>
          <w:szCs w:val="19"/>
        </w:rPr>
        <w:t>/9</w:t>
      </w:r>
      <w:r>
        <w:rPr>
          <w:rFonts w:ascii="Tahoma" w:hAnsi="Tahoma" w:cs="Tahoma"/>
          <w:color w:val="333333"/>
          <w:sz w:val="19"/>
          <w:szCs w:val="19"/>
        </w:rPr>
        <w:t xml:space="preserve">/2016, ημέρα </w:t>
      </w:r>
      <w:r w:rsidR="00BC5858">
        <w:rPr>
          <w:rFonts w:ascii="Tahoma" w:hAnsi="Tahoma" w:cs="Tahoma"/>
          <w:color w:val="333333"/>
          <w:sz w:val="19"/>
          <w:szCs w:val="19"/>
        </w:rPr>
        <w:t>Σάββατο</w:t>
      </w:r>
      <w:r>
        <w:rPr>
          <w:rFonts w:ascii="Tahoma" w:hAnsi="Tahoma" w:cs="Tahoma"/>
          <w:color w:val="333333"/>
          <w:sz w:val="19"/>
          <w:szCs w:val="19"/>
        </w:rPr>
        <w:t xml:space="preserve"> έως και </w:t>
      </w:r>
      <w:r w:rsidR="00F13F82">
        <w:rPr>
          <w:rFonts w:ascii="Tahoma" w:hAnsi="Tahoma" w:cs="Tahoma"/>
          <w:color w:val="333333"/>
          <w:sz w:val="19"/>
          <w:szCs w:val="19"/>
        </w:rPr>
        <w:t>7</w:t>
      </w:r>
      <w:r>
        <w:rPr>
          <w:rFonts w:ascii="Tahoma" w:hAnsi="Tahoma" w:cs="Tahoma"/>
          <w:color w:val="333333"/>
          <w:sz w:val="19"/>
          <w:szCs w:val="19"/>
        </w:rPr>
        <w:t xml:space="preserve">/9/2016, ημέρα </w:t>
      </w:r>
      <w:r w:rsidR="00F13F82">
        <w:rPr>
          <w:rFonts w:ascii="Tahoma" w:hAnsi="Tahoma" w:cs="Tahoma"/>
          <w:color w:val="333333"/>
          <w:sz w:val="19"/>
          <w:szCs w:val="19"/>
        </w:rPr>
        <w:t>Τετάρτη</w:t>
      </w:r>
      <w:r>
        <w:rPr>
          <w:rFonts w:ascii="Tahoma" w:hAnsi="Tahoma" w:cs="Tahoma"/>
          <w:color w:val="333333"/>
          <w:sz w:val="19"/>
          <w:szCs w:val="19"/>
        </w:rPr>
        <w:t>, μέσω τηλεομοιοτυπίας (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fax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: 2106400241, 2106400686, 2131319438) ή μέσω ηλεκτρονικού ταχυδρομείου (e-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mai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l: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hyperlink r:id="rId8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prosl.enstasi@asep.gr</w:t>
        </w:r>
      </w:hyperlink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t>και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 </w:t>
      </w:r>
      <w:hyperlink r:id="rId9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grapt.enstasi@asep.gr</w:t>
        </w:r>
      </w:hyperlink>
      <w:r>
        <w:rPr>
          <w:rFonts w:ascii="Tahoma" w:hAnsi="Tahoma" w:cs="Tahoma"/>
          <w:color w:val="333333"/>
          <w:sz w:val="19"/>
          <w:szCs w:val="19"/>
        </w:rPr>
        <w:t>).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3839"/>
    <w:rsid w:val="00007BE6"/>
    <w:rsid w:val="00011C3F"/>
    <w:rsid w:val="000145EA"/>
    <w:rsid w:val="00050C25"/>
    <w:rsid w:val="000A01D6"/>
    <w:rsid w:val="000D1343"/>
    <w:rsid w:val="000E49E6"/>
    <w:rsid w:val="00107394"/>
    <w:rsid w:val="0011297E"/>
    <w:rsid w:val="001269E4"/>
    <w:rsid w:val="00133C67"/>
    <w:rsid w:val="001608CE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7C4B82"/>
    <w:rsid w:val="0081153A"/>
    <w:rsid w:val="00822405"/>
    <w:rsid w:val="00826FD7"/>
    <w:rsid w:val="0083281F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C5858"/>
    <w:rsid w:val="00BD54FE"/>
    <w:rsid w:val="00BD7083"/>
    <w:rsid w:val="00BE1DE2"/>
    <w:rsid w:val="00C95F75"/>
    <w:rsid w:val="00CA3E66"/>
    <w:rsid w:val="00CA49CC"/>
    <w:rsid w:val="00CA5572"/>
    <w:rsid w:val="00CB59D5"/>
    <w:rsid w:val="00CC2EF0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C3F0B"/>
    <w:rsid w:val="00F00EF3"/>
    <w:rsid w:val="00F134F0"/>
    <w:rsid w:val="00F13F82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semiHidden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l.enstasi@ase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gov.gr/eidiki-agwgi-2/eidiki-agwgi-ekpaideutikoi/eidiki-agwgi-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p.gr/webcenter/content/conn/ucmserver/path/Enterprise%20Libraries/asep/news_files/august/2133_fek_gen_ekp.pdf?lv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pt.enstasi@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14</cp:revision>
  <cp:lastPrinted>2016-08-29T07:55:00Z</cp:lastPrinted>
  <dcterms:created xsi:type="dcterms:W3CDTF">2016-08-29T11:14:00Z</dcterms:created>
  <dcterms:modified xsi:type="dcterms:W3CDTF">2016-09-02T10:26:00Z</dcterms:modified>
</cp:coreProperties>
</file>